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25 43 vom 3. November 2025</w:t>
      </w:r>
    </w:p>
    <w:p>
      <w:r>
        <w:t>VS Kantonsgericht, 2025-11-03, FR</w:t>
      </w:r>
    </w:p>
    <w:p>
      <w:r>
        <w:rPr>
          <w:b/>
        </w:rPr>
        <w:t xml:space="preserve">Quelle: </w:t>
      </w:r>
      <w:r>
        <w:t>https://mcp.opencaselaw.ch/entscheid/vs_gerichte_A1 25 43</w:t>
      </w:r>
    </w:p>
    <w:p>
      <w:r>
        <w:t>FR: VS_GERICHTE A1 25 43 du 3 novembre 2025</w:t>
      </w:r>
    </w:p>
    <w:p>
      <w:r>
        <w:t>IT: VS_GERICHTE A1 25 43 del 3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de droit administratif du 19 mars 2025.</w:t>
      </w:r>
    </w:p>
    <w:p>
      <w:r>
        <w:rPr>
          <w:b/>
        </w:rPr>
        <w:t>E. 2</w:t>
      </w:r>
    </w:p>
    <w:p>
      <w:r>
        <w:t>La cause A1 25 43 est rayée du rôle.</w:t>
      </w:r>
    </w:p>
    <w:p>
      <w:r>
        <w:rPr>
          <w:b/>
        </w:rPr>
        <w:t>E. 3</w:t>
      </w:r>
    </w:p>
    <w:p>
      <w:r>
        <w:t>Il n’est pas perçu de frais.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est communiquée à Maître Benjamin Schwab, avocat à Vevey, pour X _________, et à l’Office des sanctions et des mesures d'accompagnement (OSAMA), à Sion. Sion, le 3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